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3E78" w14:textId="77777777" w:rsidR="00D61E18" w:rsidRPr="009154FE" w:rsidRDefault="009154FE" w:rsidP="009154FE">
      <w:pPr>
        <w:pStyle w:val="Zkladntext"/>
        <w:spacing w:after="0" w:line="288" w:lineRule="auto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MILPE Stavebniny s.r.o. </w:t>
      </w:r>
    </w:p>
    <w:p w14:paraId="1DCB4DF3" w14:textId="77777777" w:rsidR="00D61E18" w:rsidRPr="009154FE" w:rsidRDefault="009154FE" w:rsidP="009154FE">
      <w:pPr>
        <w:pStyle w:val="Bezmezer"/>
        <w:spacing w:line="288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        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Janáčkova 1797/4 </w:t>
      </w:r>
    </w:p>
    <w:p w14:paraId="1B7A1A47" w14:textId="77777777" w:rsidR="00D61E18" w:rsidRPr="009154FE" w:rsidRDefault="009154FE" w:rsidP="009154FE">
      <w:pPr>
        <w:pStyle w:val="Bezmezer"/>
        <w:spacing w:line="288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>Ostrava, 70200</w:t>
      </w:r>
    </w:p>
    <w:p w14:paraId="364ED5B5" w14:textId="77777777" w:rsidR="00D61E18" w:rsidRPr="009154FE" w:rsidRDefault="009154FE" w:rsidP="009154FE">
      <w:pPr>
        <w:pStyle w:val="Bezmezer"/>
        <w:spacing w:line="288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  <w:lang w:val="cs-CZ"/>
        </w:rPr>
        <w:t>IČ 05776449</w:t>
      </w:r>
    </w:p>
    <w:p w14:paraId="09695846" w14:textId="77777777" w:rsidR="00D61E18" w:rsidRPr="009154FE" w:rsidRDefault="009154FE" w:rsidP="009154FE">
      <w:pPr>
        <w:pStyle w:val="Bezmezer"/>
        <w:spacing w:line="288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  DIČ CZ05776449</w:t>
      </w:r>
    </w:p>
    <w:p w14:paraId="296C2EE7" w14:textId="77777777" w:rsidR="00D61E18" w:rsidRPr="009154FE" w:rsidRDefault="00D61E18" w:rsidP="00534AAF">
      <w:pPr>
        <w:pStyle w:val="Bezmezer"/>
        <w:spacing w:line="288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cs-CZ"/>
        </w:rPr>
      </w:pPr>
    </w:p>
    <w:p w14:paraId="3650139C" w14:textId="77777777" w:rsidR="00D61E18" w:rsidRPr="009154FE" w:rsidRDefault="00D61E18" w:rsidP="00534AAF">
      <w:pPr>
        <w:pStyle w:val="Bezmezer"/>
        <w:spacing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90D0A49" w14:textId="77777777" w:rsidR="00D61E18" w:rsidRPr="009154FE" w:rsidRDefault="009154FE" w:rsidP="00534AAF">
      <w:pPr>
        <w:pStyle w:val="Nadpis2"/>
        <w:spacing w:before="0" w:after="0"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Reklamační řád: </w:t>
      </w:r>
    </w:p>
    <w:p w14:paraId="4450585A" w14:textId="77777777" w:rsidR="00D61E18" w:rsidRPr="009154FE" w:rsidRDefault="00D61E18" w:rsidP="00534AAF">
      <w:pPr>
        <w:pStyle w:val="Zkladntext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95A599F" w14:textId="753A98B6" w:rsidR="00D61E18" w:rsidRPr="009154FE" w:rsidRDefault="009154FE" w:rsidP="009154FE">
      <w:pPr>
        <w:pStyle w:val="Zkladntext"/>
        <w:numPr>
          <w:ilvl w:val="0"/>
          <w:numId w:val="2"/>
        </w:numPr>
        <w:tabs>
          <w:tab w:val="clear" w:pos="707"/>
          <w:tab w:val="left" w:pos="0"/>
        </w:tabs>
        <w:spacing w:after="0" w:line="288" w:lineRule="auto"/>
        <w:ind w:hanging="70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Reklamační řád upravuje způsob a podmínky reklamace vad zboží a uplatnění nároků </w:t>
      </w:r>
      <w:r w:rsidR="00D90FF0" w:rsidRPr="009154FE">
        <w:rPr>
          <w:rFonts w:ascii="Calibri" w:hAnsi="Calibri" w:cs="Calibri"/>
          <w:color w:val="000000" w:themeColor="text1"/>
          <w:sz w:val="22"/>
          <w:szCs w:val="22"/>
        </w:rPr>
        <w:t>z těchto vad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 spotřebitelem, v souladu s ustanoveními zákona č. 89/2012 Sb., občanský zákoník, v aktuálním znění, a zákona č. 634/1995 Sb., zákon o ochraně spotřebitele, ve znění pozdějších předpisů. </w:t>
      </w:r>
      <w:r w:rsidR="005435C1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Reklamační řád je nedílnou součástí 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>všeobecných</w:t>
      </w:r>
      <w:r w:rsidR="005435C1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 obchodních podmínek prodávajícího. </w:t>
      </w:r>
      <w:r w:rsidR="00D90FF0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Kupujícím se dle tohoto reklamačního řád rozumí spotřebitel, ledaže je výslovně uvedeno jinak. </w:t>
      </w:r>
    </w:p>
    <w:p w14:paraId="70802790" w14:textId="77777777" w:rsidR="00D90FF0" w:rsidRPr="009154FE" w:rsidRDefault="00D90FF0" w:rsidP="009154FE">
      <w:pPr>
        <w:pStyle w:val="Zkladntext"/>
        <w:tabs>
          <w:tab w:val="left" w:pos="0"/>
        </w:tabs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A2D1C4C" w14:textId="31E45747" w:rsidR="00D61E18" w:rsidRPr="009154FE" w:rsidRDefault="009154FE" w:rsidP="009154FE">
      <w:pPr>
        <w:pStyle w:val="Zkladntext"/>
        <w:numPr>
          <w:ilvl w:val="0"/>
          <w:numId w:val="2"/>
        </w:numPr>
        <w:tabs>
          <w:tab w:val="clear" w:pos="707"/>
          <w:tab w:val="left" w:pos="0"/>
        </w:tabs>
        <w:spacing w:after="0" w:line="288" w:lineRule="auto"/>
        <w:ind w:hanging="70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Za okamžik uplatnění reklamace se považuje okamžik, kdy Prodávající obdržel od Kupujícího reklamované zboží. </w:t>
      </w:r>
    </w:p>
    <w:p w14:paraId="1FF507DA" w14:textId="77777777" w:rsidR="0043591A" w:rsidRPr="009154FE" w:rsidRDefault="0043591A" w:rsidP="009154FE">
      <w:pPr>
        <w:pStyle w:val="Zkladntext"/>
        <w:tabs>
          <w:tab w:val="left" w:pos="0"/>
        </w:tabs>
        <w:spacing w:after="0" w:line="288" w:lineRule="auto"/>
        <w:ind w:left="707" w:hanging="70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FA39342" w14:textId="4A300040" w:rsidR="00D61E18" w:rsidRPr="009154FE" w:rsidRDefault="009154FE" w:rsidP="009154FE">
      <w:pPr>
        <w:pStyle w:val="Zkladntext"/>
        <w:numPr>
          <w:ilvl w:val="0"/>
          <w:numId w:val="2"/>
        </w:numPr>
        <w:tabs>
          <w:tab w:val="clear" w:pos="707"/>
          <w:tab w:val="left" w:pos="0"/>
        </w:tabs>
        <w:spacing w:after="0" w:line="288" w:lineRule="auto"/>
        <w:ind w:hanging="70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U veškerého nového zboží prodávaného Prodávajícím Kupujícímu, který je spotřebitelem, odpovídá Prodávající Kupujícímu za to, že zboží při převzetí nemá vady a že se vady u spotřebního zboží nevyskytnou v době </w:t>
      </w:r>
      <w:r w:rsidR="0043591A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dvou let 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od převzetí zboží Kupujícím. </w:t>
      </w:r>
    </w:p>
    <w:p w14:paraId="6DB5D68F" w14:textId="77777777" w:rsidR="0043591A" w:rsidRPr="009154FE" w:rsidRDefault="0043591A" w:rsidP="009154FE">
      <w:pPr>
        <w:pStyle w:val="Zkladntext"/>
        <w:tabs>
          <w:tab w:val="left" w:pos="0"/>
          <w:tab w:val="num" w:pos="567"/>
        </w:tabs>
        <w:spacing w:after="0" w:line="288" w:lineRule="auto"/>
        <w:ind w:hanging="70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B26F2E1" w14:textId="77777777" w:rsidR="00810278" w:rsidRPr="009154FE" w:rsidRDefault="009154FE" w:rsidP="009154FE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Není-li Kupující spotřebitelem, činí doba podle předchozího článku dvanáct měsíců od převzetí zboží Kupujícím. </w:t>
      </w:r>
    </w:p>
    <w:p w14:paraId="30408CE3" w14:textId="77777777" w:rsidR="00810278" w:rsidRPr="009154FE" w:rsidRDefault="00810278" w:rsidP="009154FE">
      <w:pPr>
        <w:pStyle w:val="Odstavecseseznamem"/>
        <w:tabs>
          <w:tab w:val="num" w:pos="567"/>
        </w:tabs>
        <w:spacing w:line="288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spacing w:val="8"/>
          <w:sz w:val="22"/>
          <w:szCs w:val="22"/>
          <w:lang w:eastAsia="cs-CZ"/>
        </w:rPr>
      </w:pPr>
    </w:p>
    <w:p w14:paraId="070202DE" w14:textId="041595F8" w:rsidR="00EB43C1" w:rsidRPr="009154FE" w:rsidRDefault="00EB43C1" w:rsidP="009154FE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</w:pP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Prodávající odpovídá kupujícímu, že zboží při převzetí nemá vady. Zejména prodávající odpovídá kupujícímu, že zboží</w:t>
      </w:r>
    </w:p>
    <w:p w14:paraId="7334A755" w14:textId="77777777" w:rsidR="00EB43C1" w:rsidRPr="009154FE" w:rsidRDefault="00EB43C1" w:rsidP="00534AAF">
      <w:pPr>
        <w:numPr>
          <w:ilvl w:val="0"/>
          <w:numId w:val="8"/>
        </w:numPr>
        <w:tabs>
          <w:tab w:val="clear" w:pos="720"/>
          <w:tab w:val="num" w:pos="567"/>
        </w:tabs>
        <w:spacing w:line="288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</w:pP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odpovídá ujednanému popisu, druhu a množství, jakož i jakosti, funkčnosti, kompatibilitě, interoperabilitě a jiným ujednaným vlastnostem;</w:t>
      </w:r>
    </w:p>
    <w:p w14:paraId="460459EB" w14:textId="77777777" w:rsidR="00EB43C1" w:rsidRPr="009154FE" w:rsidRDefault="00EB43C1" w:rsidP="00534AAF">
      <w:pPr>
        <w:numPr>
          <w:ilvl w:val="0"/>
          <w:numId w:val="8"/>
        </w:numPr>
        <w:tabs>
          <w:tab w:val="clear" w:pos="720"/>
          <w:tab w:val="num" w:pos="567"/>
        </w:tabs>
        <w:spacing w:line="288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</w:pP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 xml:space="preserve">je vhodná k účelu, pro který ji kupující požaduje a s nímž prodávající souhlasil, a </w:t>
      </w:r>
    </w:p>
    <w:p w14:paraId="2FFA77E5" w14:textId="64016F55" w:rsidR="00EB43C1" w:rsidRDefault="00EB43C1" w:rsidP="00534AAF">
      <w:pPr>
        <w:numPr>
          <w:ilvl w:val="0"/>
          <w:numId w:val="8"/>
        </w:numPr>
        <w:tabs>
          <w:tab w:val="clear" w:pos="720"/>
          <w:tab w:val="num" w:pos="567"/>
        </w:tabs>
        <w:spacing w:line="288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</w:pP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je dodána s ujednaným příslušenstvím a pokyny k použití, včetně návodu k montáži nebo instalaci.</w:t>
      </w:r>
    </w:p>
    <w:p w14:paraId="2618FB67" w14:textId="77777777" w:rsidR="009154FE" w:rsidRPr="009154FE" w:rsidRDefault="009154FE" w:rsidP="009154FE">
      <w:pPr>
        <w:spacing w:line="288" w:lineRule="auto"/>
        <w:ind w:left="1134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</w:pPr>
    </w:p>
    <w:p w14:paraId="36D658C5" w14:textId="4522848A" w:rsidR="00EB43C1" w:rsidRPr="009154FE" w:rsidRDefault="00EB43C1" w:rsidP="00534AAF">
      <w:pPr>
        <w:pStyle w:val="Odstavecseseznamem"/>
        <w:numPr>
          <w:ilvl w:val="0"/>
          <w:numId w:val="2"/>
        </w:numPr>
        <w:tabs>
          <w:tab w:val="clear" w:pos="707"/>
          <w:tab w:val="num" w:pos="709"/>
        </w:tabs>
        <w:spacing w:line="288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</w:pP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Prodávající dále odpovídá kupujícímu, že vedle ujednaných vlastností zboží splňuje požadavky dle §</w:t>
      </w:r>
      <w:r w:rsid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 </w:t>
      </w: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2161 odst. 2 občanského zákoníku.</w:t>
      </w:r>
    </w:p>
    <w:p w14:paraId="4B55EFE1" w14:textId="77777777" w:rsidR="0043591A" w:rsidRPr="009154FE" w:rsidRDefault="0043591A" w:rsidP="00534AAF">
      <w:pPr>
        <w:tabs>
          <w:tab w:val="num" w:pos="567"/>
        </w:tabs>
        <w:spacing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2E0E94" w14:textId="5E81A50F" w:rsidR="0043591A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V případě, že se v průběhu </w:t>
      </w:r>
      <w:r w:rsidR="0043591A" w:rsidRPr="009154FE">
        <w:rPr>
          <w:rFonts w:ascii="Calibri" w:hAnsi="Calibri" w:cs="Calibri"/>
          <w:color w:val="000000" w:themeColor="text1"/>
          <w:sz w:val="22"/>
          <w:szCs w:val="22"/>
        </w:rPr>
        <w:t>dvou let od převzetí zboží kupujícím (nebo v průběhu dvanácti měsíců od převzetí zboží kupujícím, který není spotřebitel)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 vyskytne vada zboží, </w:t>
      </w:r>
      <w:r w:rsidR="0043591A"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může kupující požadovat její odstranění. Podle své volby může požadovat dodání nové věci bez vady nebo opravu věci, ledaže je zvolený způsob odstranění vady nemožný nebo ve srovnání s druhým nepřiměřeně nákladný; to se posoudí zejména s ohledem na význam vady, hodnotu, kterou by věc měla bez vady, a to, zda může být druhým způsobem vada odstraněna bez značných obtíží pro kupujícího. Prodávající může odmítnout vadu odstranit, je-li to nemožné nebo nepřiměřeně nákladné zejména s ohledem na význam vady a hodnotu, kterou by věc měla bez vady.</w:t>
      </w:r>
    </w:p>
    <w:p w14:paraId="2EA62B42" w14:textId="77777777" w:rsidR="00534AAF" w:rsidRPr="009154FE" w:rsidRDefault="00534AAF" w:rsidP="00534AAF">
      <w:pPr>
        <w:pStyle w:val="Zkladntext"/>
        <w:tabs>
          <w:tab w:val="left" w:pos="0"/>
          <w:tab w:val="num" w:pos="567"/>
        </w:tabs>
        <w:spacing w:after="0" w:line="288" w:lineRule="auto"/>
        <w:ind w:left="707" w:hanging="707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24DD9165" w14:textId="4DC9C93F" w:rsidR="0043591A" w:rsidRPr="009154FE" w:rsidRDefault="0043591A" w:rsidP="00534AAF">
      <w:pPr>
        <w:pStyle w:val="l8"/>
        <w:numPr>
          <w:ilvl w:val="0"/>
          <w:numId w:val="2"/>
        </w:numPr>
        <w:tabs>
          <w:tab w:val="clear" w:pos="707"/>
          <w:tab w:val="num" w:pos="567"/>
        </w:tabs>
        <w:spacing w:before="0" w:beforeAutospacing="0" w:after="0" w:afterAutospacing="0" w:line="288" w:lineRule="auto"/>
        <w:ind w:hanging="70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lastRenderedPageBreak/>
        <w:t>Kupující může požadovat přiměřenou slevu nebo odstoupit od smlouvy, pokud</w:t>
      </w:r>
    </w:p>
    <w:p w14:paraId="631F936D" w14:textId="30A30B96" w:rsidR="0043591A" w:rsidRPr="009154FE" w:rsidRDefault="0043591A" w:rsidP="00534AAF">
      <w:pPr>
        <w:pStyle w:val="l9"/>
        <w:numPr>
          <w:ilvl w:val="1"/>
          <w:numId w:val="10"/>
        </w:numPr>
        <w:spacing w:before="0" w:beforeAutospacing="0" w:after="0" w:afterAutospacing="0" w:line="288" w:lineRule="auto"/>
        <w:ind w:left="1134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>prodávající vadu odmítl odstranit nebo ji neodstranil v souladu s § 2170 odst. 1 a 2 občanského zákoníku,</w:t>
      </w:r>
    </w:p>
    <w:p w14:paraId="4D679E3B" w14:textId="6C41E7C0" w:rsidR="0043591A" w:rsidRPr="009154FE" w:rsidRDefault="0043591A" w:rsidP="00534AAF">
      <w:pPr>
        <w:pStyle w:val="l9"/>
        <w:numPr>
          <w:ilvl w:val="1"/>
          <w:numId w:val="10"/>
        </w:numPr>
        <w:spacing w:before="0" w:beforeAutospacing="0" w:after="0" w:afterAutospacing="0" w:line="288" w:lineRule="auto"/>
        <w:ind w:left="1134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>se vada projeví opakovaně,</w:t>
      </w:r>
    </w:p>
    <w:p w14:paraId="1B2E0AE9" w14:textId="3764A8DC" w:rsidR="0043591A" w:rsidRPr="009154FE" w:rsidRDefault="0043591A" w:rsidP="00534AAF">
      <w:pPr>
        <w:pStyle w:val="l9"/>
        <w:numPr>
          <w:ilvl w:val="1"/>
          <w:numId w:val="10"/>
        </w:numPr>
        <w:spacing w:before="0" w:beforeAutospacing="0" w:after="0" w:afterAutospacing="0" w:line="288" w:lineRule="auto"/>
        <w:ind w:left="1134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>je vada podstatným porušením smlouvy, nebo</w:t>
      </w:r>
    </w:p>
    <w:p w14:paraId="50655F71" w14:textId="2BAEE05B" w:rsidR="0043591A" w:rsidRPr="009154FE" w:rsidRDefault="0043591A" w:rsidP="00534AAF">
      <w:pPr>
        <w:pStyle w:val="l9"/>
        <w:numPr>
          <w:ilvl w:val="1"/>
          <w:numId w:val="10"/>
        </w:numPr>
        <w:spacing w:before="0" w:beforeAutospacing="0" w:after="0" w:afterAutospacing="0" w:line="288" w:lineRule="auto"/>
        <w:ind w:left="1134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>je z prohlášení prodávajícího nebo z okolností zjevné, že vada nebude odstraněna v přiměřené době nebo bez značných obtíží pro kupujícího.</w:t>
      </w:r>
    </w:p>
    <w:p w14:paraId="340742DE" w14:textId="159D1844" w:rsidR="00534AAF" w:rsidRPr="009154FE" w:rsidRDefault="00534AAF" w:rsidP="00534AAF">
      <w:pPr>
        <w:pStyle w:val="l9"/>
        <w:tabs>
          <w:tab w:val="num" w:pos="567"/>
        </w:tabs>
        <w:spacing w:before="0" w:beforeAutospacing="0" w:after="0" w:afterAutospacing="0" w:line="288" w:lineRule="auto"/>
        <w:ind w:hanging="707"/>
        <w:jc w:val="both"/>
        <w:rPr>
          <w:rStyle w:val="PromnnHTML"/>
          <w:rFonts w:ascii="Calibri" w:hAnsi="Calibri" w:cs="Calibri"/>
          <w:b/>
          <w:bCs/>
          <w:i w:val="0"/>
          <w:iCs w:val="0"/>
          <w:color w:val="000000" w:themeColor="text1"/>
          <w:sz w:val="22"/>
          <w:szCs w:val="22"/>
        </w:rPr>
      </w:pPr>
    </w:p>
    <w:p w14:paraId="46B8A578" w14:textId="230D9C74" w:rsidR="00534AAF" w:rsidRPr="009154FE" w:rsidRDefault="00534AAF" w:rsidP="00534AAF">
      <w:pPr>
        <w:pStyle w:val="l9"/>
        <w:numPr>
          <w:ilvl w:val="0"/>
          <w:numId w:val="2"/>
        </w:numPr>
        <w:tabs>
          <w:tab w:val="clear" w:pos="707"/>
          <w:tab w:val="num" w:pos="567"/>
        </w:tabs>
        <w:spacing w:before="0" w:beforeAutospacing="0" w:after="0" w:afterAutospacing="0" w:line="288" w:lineRule="auto"/>
        <w:ind w:left="567" w:hanging="567"/>
        <w:jc w:val="both"/>
        <w:rPr>
          <w:rStyle w:val="PromnnHTML"/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  <w:r w:rsidRPr="009154FE">
        <w:rPr>
          <w:rStyle w:val="PromnnHTML"/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Přiměřená sleva se určí jako rozdíl mezi hodnotou věci bez vady a vadné věci, kterou kupující obdržel. </w:t>
      </w:r>
    </w:p>
    <w:p w14:paraId="5C37E030" w14:textId="77777777" w:rsidR="00534AAF" w:rsidRPr="009154FE" w:rsidRDefault="00534AAF" w:rsidP="00534AAF">
      <w:pPr>
        <w:pStyle w:val="l9"/>
        <w:tabs>
          <w:tab w:val="num" w:pos="567"/>
        </w:tabs>
        <w:spacing w:before="0" w:beforeAutospacing="0" w:after="0" w:afterAutospacing="0" w:line="288" w:lineRule="auto"/>
        <w:ind w:left="567" w:hanging="567"/>
        <w:jc w:val="both"/>
        <w:rPr>
          <w:rStyle w:val="PromnnHTML"/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</w:p>
    <w:p w14:paraId="4A5A7C0B" w14:textId="5E083AED" w:rsidR="0043591A" w:rsidRPr="009154FE" w:rsidRDefault="00534AAF" w:rsidP="009154FE">
      <w:pPr>
        <w:pStyle w:val="l9"/>
        <w:numPr>
          <w:ilvl w:val="0"/>
          <w:numId w:val="2"/>
        </w:numPr>
        <w:tabs>
          <w:tab w:val="clear" w:pos="707"/>
          <w:tab w:val="num" w:pos="567"/>
        </w:tabs>
        <w:spacing w:before="0" w:beforeAutospacing="0" w:after="0" w:afterAutospacing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Style w:val="PromnnHTML"/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Odstoupí-li kupující od smlouvy, prodávající vrátí kupujícímu kupní cenu bez zbytečného odkladu poté, co obdrží věc nebo co mu kupující prokáže, že věc odeslal. </w:t>
      </w:r>
    </w:p>
    <w:p w14:paraId="5501E566" w14:textId="77777777" w:rsidR="00EB43C1" w:rsidRPr="009154FE" w:rsidRDefault="00EB43C1" w:rsidP="00534AAF">
      <w:pPr>
        <w:pStyle w:val="Odstavecseseznamem"/>
        <w:tabs>
          <w:tab w:val="num" w:pos="567"/>
        </w:tabs>
        <w:spacing w:line="288" w:lineRule="auto"/>
        <w:ind w:left="707" w:hanging="70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cs-CZ" w:bidi="ar-SA"/>
        </w:rPr>
      </w:pPr>
    </w:p>
    <w:p w14:paraId="495F64B2" w14:textId="107E369D" w:rsidR="0043591A" w:rsidRPr="009154FE" w:rsidRDefault="0043591A" w:rsidP="00534AAF">
      <w:pPr>
        <w:pStyle w:val="Odstavecseseznamem"/>
        <w:numPr>
          <w:ilvl w:val="0"/>
          <w:numId w:val="2"/>
        </w:numPr>
        <w:tabs>
          <w:tab w:val="clear" w:pos="707"/>
          <w:tab w:val="num" w:pos="567"/>
        </w:tabs>
        <w:spacing w:line="288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cs-CZ" w:bidi="ar-SA"/>
        </w:rPr>
      </w:pPr>
      <w:r w:rsidRPr="009154F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:lang w:eastAsia="cs-CZ" w:bidi="ar-SA"/>
        </w:rPr>
        <w:t>K odstranění vady převezme prodávající věc na vlastní náklady. Vyžaduje-li to demontáž věci, jejíž montáž byla provedena v souladu s povahou a účelem věci předtím, než se vada projevila, prodávající provede demontáž vadné věci a montáž opravené nebo nové věci anebo uhradí náklady s tím spojené.</w:t>
      </w:r>
    </w:p>
    <w:p w14:paraId="381D666C" w14:textId="77777777" w:rsidR="0043591A" w:rsidRPr="009154FE" w:rsidRDefault="0043591A" w:rsidP="00534AAF">
      <w:pPr>
        <w:pStyle w:val="Zkladntext"/>
        <w:tabs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174C7CB" w14:textId="2D9BE7E7" w:rsidR="00157A67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Práva z vadného plnění Kupujícímu nenáleží, pokud Kupující o vadě před převzetím věci věděl, nebo pokud vadu sám způsobil. </w:t>
      </w:r>
      <w:r w:rsidR="0043591A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Vadou věci není opotřebení věci způsobené jejím obvyklým užíváním nebo u použité věci opotřebení odpovídající </w:t>
      </w:r>
      <w:r w:rsidR="00157A67" w:rsidRPr="009154FE">
        <w:rPr>
          <w:rFonts w:ascii="Calibri" w:hAnsi="Calibri" w:cs="Calibri"/>
          <w:color w:val="000000" w:themeColor="text1"/>
          <w:sz w:val="22"/>
          <w:szCs w:val="22"/>
        </w:rPr>
        <w:t>míře jejího předchozího používání. Opotřebením způsobeným obvyklým užíváním se rozumí i snížení kapacity baterií a akumulátorů. Nároky z odpovědnosti za vady se nevztahují na vady způsobené nesprávným užíváním, nedodržením návodu, nevhodnou údržbou nebo nesprávným skladováním. Nároky z odpovědnosti za vady se nevztahují na zboží, u kterého byla reklamace uplatněna po uplynutí zákonem stanovené lhůty.</w:t>
      </w:r>
    </w:p>
    <w:p w14:paraId="2DC5B5A2" w14:textId="48702629" w:rsidR="00D61E18" w:rsidRPr="009154FE" w:rsidRDefault="009154FE" w:rsidP="00534AAF">
      <w:pPr>
        <w:pStyle w:val="Zkladntext"/>
        <w:tabs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1FD04C2" w14:textId="77777777" w:rsidR="00534AAF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Kupující je povinen uplatnit reklamaci u Prodávajícího bez zbytečného odkladu od zjištění </w:t>
      </w:r>
      <w:r w:rsidR="00157A67" w:rsidRPr="009154FE">
        <w:rPr>
          <w:rFonts w:ascii="Calibri" w:hAnsi="Calibri" w:cs="Calibri"/>
          <w:color w:val="000000" w:themeColor="text1"/>
          <w:sz w:val="22"/>
          <w:szCs w:val="22"/>
        </w:rPr>
        <w:t>vady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. Doručené reklamace jsou vyřizovány bez zbytečného odkladu, nejpozději však do 30 dnů ode dne uplatnění reklamace, pokud se Prodávající s Kupujícím nedohodnou jinak. </w:t>
      </w:r>
      <w:r w:rsidR="00534AAF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Po marném uplynutí této lhůty má kupující právo od kupní smlouvy odstoupit nebo požadovat přiměřenou slevu. </w:t>
      </w:r>
    </w:p>
    <w:p w14:paraId="12AC75D3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</w:p>
    <w:p w14:paraId="4E3898E4" w14:textId="02CE94D2" w:rsidR="00534AAF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V případě uplatnění reklamace písemně nebo elektronicky se dnem uplatnění reklamace rozumí den, kdy bylo oznámení o podání reklamace podáno k poštovní přepravě. </w:t>
      </w:r>
    </w:p>
    <w:p w14:paraId="6C4E4CC6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</w:p>
    <w:p w14:paraId="2888C696" w14:textId="77777777" w:rsidR="00534AAF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V případě sporné reklamace rozhodne Prodávající o jejím přijetí do tří pracovních dnů ode dne uplatnění reklamace. </w:t>
      </w:r>
    </w:p>
    <w:p w14:paraId="22374388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cs-CZ" w:bidi="ar-SA"/>
        </w:rPr>
      </w:pPr>
    </w:p>
    <w:p w14:paraId="71F1BEF2" w14:textId="77777777" w:rsidR="00534AAF" w:rsidRPr="009154FE" w:rsidRDefault="00534AAF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cs-CZ" w:bidi="ar-SA"/>
        </w:rPr>
        <w:t>Prodávající je povinen kupujícímu vydat při uplatnění reklamace písemné potvrzení, ve kterém uvede datum, kdy kupující reklamaci uplatnil, co je jejím obsahem, jaký způsob vyřízení reklamace kupující požaduje a kontaktní údaje kupujícího pro účely poskytnutí informace o vyřízení reklamace. </w:t>
      </w:r>
    </w:p>
    <w:p w14:paraId="62373D87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</w:p>
    <w:p w14:paraId="1EAD15FF" w14:textId="77777777" w:rsidR="00534AAF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Reklamaci lze uplatnit následujícím způsobem: Informování Prodávajícího telefonicky, e-mailem či písemně. Pokud to webové rozhraní umožňuje, může Kupující pro oznámení reklamace využít reklamační protokol, který mu bude zaslán </w:t>
      </w:r>
      <w:commentRangeStart w:id="0"/>
      <w:r w:rsidRPr="009154FE">
        <w:rPr>
          <w:rFonts w:ascii="Calibri" w:hAnsi="Calibri" w:cs="Calibri"/>
          <w:color w:val="000000" w:themeColor="text1"/>
          <w:sz w:val="22"/>
          <w:szCs w:val="22"/>
        </w:rPr>
        <w:t>na adresu elektronické pošty nebo je k dispozici ke stažení na webovém rozhraní</w:t>
      </w:r>
      <w:commentRangeEnd w:id="0"/>
      <w:r w:rsidR="00157A67" w:rsidRPr="009154FE">
        <w:rPr>
          <w:rStyle w:val="Odkaznakoment"/>
          <w:rFonts w:ascii="Calibri" w:hAnsi="Calibri" w:cs="Calibri"/>
          <w:color w:val="000000" w:themeColor="text1"/>
          <w:sz w:val="22"/>
          <w:szCs w:val="22"/>
        </w:rPr>
        <w:commentReference w:id="0"/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71318B8F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</w:p>
    <w:p w14:paraId="5DD61C73" w14:textId="77777777" w:rsidR="00534AAF" w:rsidRPr="009154FE" w:rsidRDefault="00157A67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lastRenderedPageBreak/>
        <w:t>Při podání reklamace je nutné uvést následující údaje: identifikace reklamovaného zboží (číslo objednávky, doklad potvrzující nákup zboží) identifikace osoby, uplatňující reklamaci (telefonní a e-mailový kontakt), podrobný popis reklamované vady, adresa místa plnění (místa zabudování reklamovaného zboží), jaké právo z odpovědnosti z vad uplatňuje. Pokud Kupující uplatňuje reklamaci písemně, je nutno doložit fotografie viditelně zobrazené vady.</w:t>
      </w:r>
    </w:p>
    <w:p w14:paraId="7A0E44AF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</w:p>
    <w:p w14:paraId="0C42E6A9" w14:textId="77777777" w:rsidR="00534AAF" w:rsidRPr="009154FE" w:rsidRDefault="00157A67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Kupující zašle </w:t>
      </w:r>
      <w:r w:rsidR="009154FE" w:rsidRPr="009154FE">
        <w:rPr>
          <w:rFonts w:ascii="Calibri" w:hAnsi="Calibri" w:cs="Calibri"/>
          <w:color w:val="000000" w:themeColor="text1"/>
          <w:sz w:val="22"/>
          <w:szCs w:val="22"/>
        </w:rPr>
        <w:t>reklamované zboží (jinak než na dobírku, kterou Prodávající nepřebírá) na Kontaktní adresu Prodávajícího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9154FE" w:rsidRPr="009154FE">
        <w:rPr>
          <w:rFonts w:ascii="Calibri" w:hAnsi="Calibri" w:cs="Calibri"/>
          <w:color w:val="000000" w:themeColor="text1"/>
          <w:sz w:val="22"/>
          <w:szCs w:val="22"/>
        </w:rPr>
        <w:t>do jakékoliv provozovny Prodávajícího nebo do sídla či místa podnikání Prodávajícího. Při zasílání je Kupující povinen zboží zabalit do vhodného obalu tak, aby nedošlo k jeho poškození či zničení. Ke zboží je nutno přiložit doklad o zakoupení zboží či fakturu, byla-li vystavena, nebo jiný dokument prokazující koupi zboží, spolu s popisem vady</w:t>
      </w:r>
      <w:r w:rsidRPr="009154FE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154FE" w:rsidRPr="009154FE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7D979B3C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cs-CZ" w:bidi="ar-SA"/>
        </w:rPr>
      </w:pPr>
    </w:p>
    <w:p w14:paraId="27BBE9D8" w14:textId="77777777" w:rsidR="00534AAF" w:rsidRPr="009154FE" w:rsidRDefault="00534AAF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cs-CZ" w:bidi="ar-SA"/>
        </w:rPr>
        <w:t>Prodávající vydá kupujícímu potvrzení o datu a způsobu vyřízení reklamace, včetně potvrzení o provedení opravy, a době jejího trvání, případně písemné odůvodnění zamítnutí reklamace.</w:t>
      </w:r>
    </w:p>
    <w:p w14:paraId="6F06D643" w14:textId="77777777" w:rsidR="00534AAF" w:rsidRPr="009154FE" w:rsidRDefault="00534AAF" w:rsidP="00534AAF">
      <w:pPr>
        <w:pStyle w:val="Odstavecseseznamem"/>
        <w:tabs>
          <w:tab w:val="num" w:pos="567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</w:p>
    <w:p w14:paraId="0B148B8C" w14:textId="37B14BF6" w:rsidR="00D61E18" w:rsidRPr="009154FE" w:rsidRDefault="009154FE" w:rsidP="00534AAF">
      <w:pPr>
        <w:pStyle w:val="Zkladntext"/>
        <w:numPr>
          <w:ilvl w:val="0"/>
          <w:numId w:val="2"/>
        </w:numPr>
        <w:tabs>
          <w:tab w:val="clear" w:pos="707"/>
          <w:tab w:val="left" w:pos="0"/>
          <w:tab w:val="num" w:pos="567"/>
        </w:tabs>
        <w:spacing w:after="0"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54FE">
        <w:rPr>
          <w:rFonts w:ascii="Calibri" w:hAnsi="Calibri" w:cs="Calibri"/>
          <w:color w:val="000000" w:themeColor="text1"/>
          <w:sz w:val="22"/>
          <w:szCs w:val="22"/>
        </w:rPr>
        <w:t>Prodávající neodpovídá za újmu na zdraví osob, případně újmu na majetku a zboží, které budou zapříčiněné neodborným zacházením, či zneužitím zboží, popřípadě nedbalostí.</w:t>
      </w:r>
    </w:p>
    <w:p w14:paraId="2E3A3DF8" w14:textId="77777777" w:rsidR="00D61E18" w:rsidRPr="009154FE" w:rsidRDefault="00D61E18" w:rsidP="00534AAF">
      <w:pPr>
        <w:tabs>
          <w:tab w:val="num" w:pos="567"/>
        </w:tabs>
        <w:spacing w:line="288" w:lineRule="auto"/>
        <w:ind w:left="567" w:hanging="567"/>
        <w:jc w:val="both"/>
        <w:rPr>
          <w:rFonts w:ascii="Calibri" w:hAnsi="Calibri" w:cs="Calibri"/>
          <w:b/>
          <w:color w:val="000000" w:themeColor="text1"/>
          <w:sz w:val="22"/>
          <w:szCs w:val="22"/>
          <w:lang w:eastAsia="ja-JP"/>
        </w:rPr>
      </w:pPr>
    </w:p>
    <w:p w14:paraId="0B683135" w14:textId="06FDC93F" w:rsidR="00D61E18" w:rsidRPr="009154FE" w:rsidRDefault="00D61E18" w:rsidP="00534AAF">
      <w:pPr>
        <w:tabs>
          <w:tab w:val="num" w:pos="567"/>
        </w:tabs>
        <w:spacing w:line="288" w:lineRule="auto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D61E18" w:rsidRPr="009154FE" w:rsidSect="00534AA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a Jančatová - 3ADVOKÁTI" w:date="2024-04-19T12:42:00Z" w:initials="MJ3">
    <w:p w14:paraId="716AD538" w14:textId="498DA491" w:rsidR="00157A67" w:rsidRDefault="00157A67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 xml:space="preserve">Na webu jsem nenašla, máte jej k dispozici?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6AD53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CCE538" w16cex:dateUtc="2024-04-19T10:42:00Z">
    <w16cex:extLst>
      <w16:ext w16:uri="{CE6994B0-6A32-4C9F-8C6B-6E91EDA988CE}">
        <cr:reactions xmlns:cr="http://schemas.microsoft.com/office/comments/2020/reactions">
          <cr:reaction reactionType="1">
            <cr:reactionInfo dateUtc="2024-04-26T07:20:30Z">
              <cr:user userId="fc35e5946246052c" userProvider="Windows Live" userName="Adam Tesárek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AD538" w16cid:durableId="29CCE5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A46"/>
    <w:multiLevelType w:val="multilevel"/>
    <w:tmpl w:val="6AC6C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570A91"/>
    <w:multiLevelType w:val="multilevel"/>
    <w:tmpl w:val="2E26B0E4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2B355CBA"/>
    <w:multiLevelType w:val="multilevel"/>
    <w:tmpl w:val="3592AC62"/>
    <w:lvl w:ilvl="0">
      <w:start w:val="1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2E3C71C3"/>
    <w:multiLevelType w:val="multilevel"/>
    <w:tmpl w:val="51906BC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46B5613"/>
    <w:multiLevelType w:val="multilevel"/>
    <w:tmpl w:val="A394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6592A"/>
    <w:multiLevelType w:val="hybridMultilevel"/>
    <w:tmpl w:val="DDC0D1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370341"/>
    <w:multiLevelType w:val="multilevel"/>
    <w:tmpl w:val="0592FBC2"/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60044BED"/>
    <w:multiLevelType w:val="multilevel"/>
    <w:tmpl w:val="FEA4A52E"/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611A77F0"/>
    <w:multiLevelType w:val="multilevel"/>
    <w:tmpl w:val="F3F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F68C6"/>
    <w:multiLevelType w:val="multilevel"/>
    <w:tmpl w:val="774C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573495">
    <w:abstractNumId w:val="0"/>
  </w:num>
  <w:num w:numId="2" w16cid:durableId="56634451">
    <w:abstractNumId w:val="3"/>
  </w:num>
  <w:num w:numId="3" w16cid:durableId="1925020262">
    <w:abstractNumId w:val="1"/>
  </w:num>
  <w:num w:numId="4" w16cid:durableId="1344822500">
    <w:abstractNumId w:val="7"/>
  </w:num>
  <w:num w:numId="5" w16cid:durableId="175776610">
    <w:abstractNumId w:val="2"/>
  </w:num>
  <w:num w:numId="6" w16cid:durableId="1867208276">
    <w:abstractNumId w:val="6"/>
  </w:num>
  <w:num w:numId="7" w16cid:durableId="1217204006">
    <w:abstractNumId w:val="4"/>
  </w:num>
  <w:num w:numId="8" w16cid:durableId="335348102">
    <w:abstractNumId w:val="8"/>
  </w:num>
  <w:num w:numId="9" w16cid:durableId="123426765">
    <w:abstractNumId w:val="9"/>
  </w:num>
  <w:num w:numId="10" w16cid:durableId="18832498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Jančatová - 3ADVOKÁTI">
    <w15:presenceInfo w15:providerId="AD" w15:userId="S::marta.jancatova@3advokati.cz::84825c32-9df2-4bec-9478-75952d7f6d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8"/>
    <w:rsid w:val="00157A67"/>
    <w:rsid w:val="002D2AB3"/>
    <w:rsid w:val="0043591A"/>
    <w:rsid w:val="00534AAF"/>
    <w:rsid w:val="005435C1"/>
    <w:rsid w:val="00810278"/>
    <w:rsid w:val="00900641"/>
    <w:rsid w:val="009154FE"/>
    <w:rsid w:val="00D61E18"/>
    <w:rsid w:val="00D90FF0"/>
    <w:rsid w:val="00E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DB4B"/>
  <w15:docId w15:val="{6053EB94-A05A-4F4D-BFF0-04D52E9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eastAsia="NSimSun" w:hAnsi="Liberation Mono" w:cs="Liberation Mono"/>
      <w:sz w:val="20"/>
      <w:szCs w:val="20"/>
    </w:rPr>
  </w:style>
  <w:style w:type="paragraph" w:styleId="Bezmezer">
    <w:name w:val="No Spacing"/>
    <w:qFormat/>
    <w:rPr>
      <w:lang w:val="sk-SK" w:eastAsia="en-US"/>
    </w:rPr>
  </w:style>
  <w:style w:type="paragraph" w:styleId="Odstavecseseznamem">
    <w:name w:val="List Paragraph"/>
    <w:basedOn w:val="Normln"/>
    <w:uiPriority w:val="34"/>
    <w:qFormat/>
    <w:rsid w:val="0043591A"/>
    <w:pPr>
      <w:ind w:left="720"/>
      <w:contextualSpacing/>
    </w:pPr>
    <w:rPr>
      <w:rFonts w:cs="Mangal"/>
      <w:szCs w:val="21"/>
    </w:rPr>
  </w:style>
  <w:style w:type="paragraph" w:customStyle="1" w:styleId="l8">
    <w:name w:val="l8"/>
    <w:basedOn w:val="Normln"/>
    <w:rsid w:val="004359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43591A"/>
    <w:rPr>
      <w:i/>
      <w:iCs/>
    </w:rPr>
  </w:style>
  <w:style w:type="character" w:customStyle="1" w:styleId="apple-converted-space">
    <w:name w:val="apple-converted-space"/>
    <w:basedOn w:val="Standardnpsmoodstavce"/>
    <w:rsid w:val="0043591A"/>
  </w:style>
  <w:style w:type="paragraph" w:customStyle="1" w:styleId="l9">
    <w:name w:val="l9"/>
    <w:basedOn w:val="Normln"/>
    <w:rsid w:val="004359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57A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A6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A6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A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A67"/>
    <w:rPr>
      <w:rFonts w:cs="Mangal"/>
      <w:b/>
      <w:bCs/>
      <w:sz w:val="20"/>
      <w:szCs w:val="18"/>
    </w:rPr>
  </w:style>
  <w:style w:type="paragraph" w:styleId="Normlnweb">
    <w:name w:val="Normal (Web)"/>
    <w:basedOn w:val="Normln"/>
    <w:uiPriority w:val="99"/>
    <w:semiHidden/>
    <w:unhideWhenUsed/>
    <w:rsid w:val="00EB43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Jančatová - 3ADVOKÁTI</dc:creator>
  <dc:description/>
  <cp:lastModifiedBy>Adam Tesárek</cp:lastModifiedBy>
  <cp:revision>5</cp:revision>
  <dcterms:created xsi:type="dcterms:W3CDTF">2024-04-19T10:17:00Z</dcterms:created>
  <dcterms:modified xsi:type="dcterms:W3CDTF">2024-04-26T07:20:00Z</dcterms:modified>
  <dc:language>cs-CZ</dc:language>
</cp:coreProperties>
</file>